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391" w:rsidRDefault="00350391" w:rsidP="00350391">
      <w:pPr>
        <w:pStyle w:val="Caption"/>
        <w:keepNext/>
      </w:pPr>
      <w:r>
        <w:t xml:space="preserve">Table </w:t>
      </w:r>
      <w:fldSimple w:instr=" SEQ Table \* ARABIC ">
        <w:r>
          <w:rPr>
            <w:noProof/>
          </w:rPr>
          <w:t>1</w:t>
        </w:r>
      </w:fldSimple>
      <w:r>
        <w:t xml:space="preserve"> Revision History</w:t>
      </w:r>
    </w:p>
    <w:tbl>
      <w:tblPr>
        <w:tblStyle w:val="TableGrid"/>
        <w:tblW w:w="0" w:type="auto"/>
        <w:tblLook w:val="04A0" w:firstRow="1" w:lastRow="0" w:firstColumn="1" w:lastColumn="0" w:noHBand="0" w:noVBand="1"/>
      </w:tblPr>
      <w:tblGrid>
        <w:gridCol w:w="3192"/>
        <w:gridCol w:w="3192"/>
        <w:gridCol w:w="3192"/>
      </w:tblGrid>
      <w:tr w:rsidR="00350391" w:rsidTr="00CF7A74">
        <w:tc>
          <w:tcPr>
            <w:tcW w:w="3192" w:type="dxa"/>
            <w:shd w:val="clear" w:color="auto" w:fill="D9D9D9" w:themeFill="background1" w:themeFillShade="D9"/>
          </w:tcPr>
          <w:p w:rsidR="00350391" w:rsidRPr="00CF7A74" w:rsidRDefault="00350391" w:rsidP="00350391">
            <w:pPr>
              <w:rPr>
                <w:b/>
              </w:rPr>
            </w:pPr>
            <w:r w:rsidRPr="00CF7A74">
              <w:rPr>
                <w:b/>
              </w:rPr>
              <w:t>Revision</w:t>
            </w:r>
          </w:p>
        </w:tc>
        <w:tc>
          <w:tcPr>
            <w:tcW w:w="3192" w:type="dxa"/>
            <w:shd w:val="clear" w:color="auto" w:fill="D9D9D9" w:themeFill="background1" w:themeFillShade="D9"/>
          </w:tcPr>
          <w:p w:rsidR="00350391" w:rsidRPr="00CF7A74" w:rsidRDefault="00350391" w:rsidP="00350391">
            <w:pPr>
              <w:rPr>
                <w:b/>
              </w:rPr>
            </w:pPr>
            <w:r w:rsidRPr="00CF7A74">
              <w:rPr>
                <w:b/>
              </w:rPr>
              <w:t>Author/Reviewer</w:t>
            </w:r>
          </w:p>
        </w:tc>
        <w:tc>
          <w:tcPr>
            <w:tcW w:w="3192" w:type="dxa"/>
            <w:shd w:val="clear" w:color="auto" w:fill="D9D9D9" w:themeFill="background1" w:themeFillShade="D9"/>
          </w:tcPr>
          <w:p w:rsidR="00350391" w:rsidRPr="00CF7A74" w:rsidRDefault="00350391" w:rsidP="00350391">
            <w:pPr>
              <w:rPr>
                <w:b/>
              </w:rPr>
            </w:pPr>
            <w:r w:rsidRPr="00CF7A74">
              <w:rPr>
                <w:b/>
              </w:rPr>
              <w:t>Comments</w:t>
            </w:r>
          </w:p>
        </w:tc>
      </w:tr>
      <w:tr w:rsidR="00350391" w:rsidTr="00350391">
        <w:tc>
          <w:tcPr>
            <w:tcW w:w="3192" w:type="dxa"/>
          </w:tcPr>
          <w:p w:rsidR="00350391" w:rsidRDefault="00350391" w:rsidP="00350391">
            <w:r>
              <w:t>1.0</w:t>
            </w:r>
          </w:p>
        </w:tc>
        <w:tc>
          <w:tcPr>
            <w:tcW w:w="3192" w:type="dxa"/>
          </w:tcPr>
          <w:p w:rsidR="00350391" w:rsidRDefault="00350391" w:rsidP="00350391">
            <w:r>
              <w:t>Archana, Vamshi</w:t>
            </w:r>
          </w:p>
        </w:tc>
        <w:tc>
          <w:tcPr>
            <w:tcW w:w="3192" w:type="dxa"/>
          </w:tcPr>
          <w:p w:rsidR="00350391" w:rsidRDefault="00350391" w:rsidP="00350391">
            <w:r>
              <w:t>First draft</w:t>
            </w:r>
          </w:p>
        </w:tc>
      </w:tr>
      <w:tr w:rsidR="00350391" w:rsidTr="00350391">
        <w:tc>
          <w:tcPr>
            <w:tcW w:w="3192" w:type="dxa"/>
          </w:tcPr>
          <w:p w:rsidR="00350391" w:rsidRDefault="00350391" w:rsidP="00350391">
            <w:r>
              <w:t>1.1</w:t>
            </w:r>
          </w:p>
        </w:tc>
        <w:tc>
          <w:tcPr>
            <w:tcW w:w="3192" w:type="dxa"/>
          </w:tcPr>
          <w:p w:rsidR="00350391" w:rsidRDefault="00350391" w:rsidP="00350391">
            <w:r>
              <w:t>Sachin</w:t>
            </w:r>
          </w:p>
        </w:tc>
        <w:tc>
          <w:tcPr>
            <w:tcW w:w="3192" w:type="dxa"/>
          </w:tcPr>
          <w:p w:rsidR="00350391" w:rsidRDefault="00350391" w:rsidP="00350391">
            <w:r>
              <w:t>Review</w:t>
            </w:r>
          </w:p>
        </w:tc>
      </w:tr>
      <w:tr w:rsidR="00350391" w:rsidTr="00350391">
        <w:tc>
          <w:tcPr>
            <w:tcW w:w="3192" w:type="dxa"/>
          </w:tcPr>
          <w:p w:rsidR="00350391" w:rsidRDefault="00350391" w:rsidP="00350391">
            <w:r>
              <w:t>1.2</w:t>
            </w:r>
          </w:p>
        </w:tc>
        <w:tc>
          <w:tcPr>
            <w:tcW w:w="3192" w:type="dxa"/>
          </w:tcPr>
          <w:p w:rsidR="00350391" w:rsidRDefault="00350391" w:rsidP="00350391">
            <w:proofErr w:type="spellStart"/>
            <w:r>
              <w:t>Lopa</w:t>
            </w:r>
            <w:proofErr w:type="spellEnd"/>
          </w:p>
        </w:tc>
        <w:tc>
          <w:tcPr>
            <w:tcW w:w="3192" w:type="dxa"/>
          </w:tcPr>
          <w:p w:rsidR="00350391" w:rsidRDefault="00350391" w:rsidP="00350391">
            <w:r>
              <w:t>Review</w:t>
            </w:r>
          </w:p>
        </w:tc>
      </w:tr>
      <w:tr w:rsidR="00350391" w:rsidTr="00350391">
        <w:tc>
          <w:tcPr>
            <w:tcW w:w="3192" w:type="dxa"/>
          </w:tcPr>
          <w:p w:rsidR="00350391" w:rsidRDefault="00350391" w:rsidP="00350391">
            <w:r>
              <w:t>1.3</w:t>
            </w:r>
          </w:p>
        </w:tc>
        <w:tc>
          <w:tcPr>
            <w:tcW w:w="3192" w:type="dxa"/>
          </w:tcPr>
          <w:p w:rsidR="00350391" w:rsidRDefault="00350391" w:rsidP="00350391">
            <w:r>
              <w:t>Archana, Vamshi</w:t>
            </w:r>
          </w:p>
        </w:tc>
        <w:tc>
          <w:tcPr>
            <w:tcW w:w="3192" w:type="dxa"/>
          </w:tcPr>
          <w:p w:rsidR="00350391" w:rsidRDefault="00350391" w:rsidP="00350391">
            <w:r>
              <w:t>Final</w:t>
            </w:r>
          </w:p>
        </w:tc>
      </w:tr>
    </w:tbl>
    <w:p w:rsidR="00966AAB" w:rsidRDefault="00966AAB" w:rsidP="00350391"/>
    <w:p w:rsidR="00966AAB" w:rsidRPr="00CF7A74" w:rsidRDefault="00966AAB" w:rsidP="00F47D2C">
      <w:pPr>
        <w:pStyle w:val="ListParagraph"/>
        <w:numPr>
          <w:ilvl w:val="0"/>
          <w:numId w:val="1"/>
        </w:numPr>
        <w:spacing w:after="0" w:line="240" w:lineRule="auto"/>
        <w:ind w:left="0" w:hanging="450"/>
        <w:rPr>
          <w:rFonts w:ascii="Arial Black" w:eastAsia="Times New Roman" w:hAnsi="Arial Black" w:cs="Times New Roman"/>
          <w:b/>
          <w:sz w:val="24"/>
          <w:szCs w:val="24"/>
        </w:rPr>
      </w:pPr>
      <w:r w:rsidRPr="00CF7A74">
        <w:rPr>
          <w:rFonts w:ascii="Arial Black" w:eastAsia="Times New Roman" w:hAnsi="Arial Black" w:cs="Times New Roman"/>
          <w:b/>
          <w:sz w:val="24"/>
          <w:szCs w:val="24"/>
        </w:rPr>
        <w:t>Efficiency—The best practice provides documentation and/or metrics that explain how the manager increased productivity, lowered costs, or offered other improvements for his/her company. This efficiency would be a best practice for most com</w:t>
      </w:r>
      <w:bookmarkStart w:id="0" w:name="_GoBack"/>
      <w:bookmarkEnd w:id="0"/>
      <w:r w:rsidRPr="00CF7A74">
        <w:rPr>
          <w:rFonts w:ascii="Arial Black" w:eastAsia="Times New Roman" w:hAnsi="Arial Black" w:cs="Times New Roman"/>
          <w:b/>
          <w:sz w:val="24"/>
          <w:szCs w:val="24"/>
        </w:rPr>
        <w:t xml:space="preserve">panies. Most publications managers would recognize the results as excellent forms of process improvement, content management, minimalism, customer focus, or outsourcing, and so on. </w:t>
      </w:r>
      <w:r w:rsidRPr="00CF7A74">
        <w:rPr>
          <w:rFonts w:ascii="Arial Black" w:eastAsia="Times New Roman" w:hAnsi="Arial Black" w:cs="Times New Roman"/>
          <w:b/>
          <w:bCs/>
          <w:sz w:val="24"/>
          <w:szCs w:val="24"/>
        </w:rPr>
        <w:t>*</w:t>
      </w:r>
      <w:r w:rsidRPr="00CF7A74">
        <w:rPr>
          <w:rFonts w:ascii="Arial Black" w:eastAsia="Times New Roman" w:hAnsi="Arial Black" w:cs="Times New Roman"/>
          <w:b/>
          <w:sz w:val="24"/>
          <w:szCs w:val="24"/>
        </w:rPr>
        <w:t xml:space="preserve"> </w:t>
      </w:r>
    </w:p>
    <w:p w:rsidR="00E84F36" w:rsidRDefault="00E84F36" w:rsidP="00E84F36">
      <w:pPr>
        <w:autoSpaceDE w:val="0"/>
        <w:autoSpaceDN w:val="0"/>
        <w:spacing w:after="120" w:line="240" w:lineRule="auto"/>
      </w:pPr>
    </w:p>
    <w:p w:rsidR="00966AAB" w:rsidRDefault="00F71A59" w:rsidP="00E84F36">
      <w:pPr>
        <w:autoSpaceDE w:val="0"/>
        <w:autoSpaceDN w:val="0"/>
        <w:spacing w:after="120" w:line="240" w:lineRule="auto"/>
      </w:pPr>
      <w:r>
        <w:t xml:space="preserve">The </w:t>
      </w:r>
      <w:r w:rsidRPr="000C3AD0">
        <w:t xml:space="preserve">Ericsson Bangalore </w:t>
      </w:r>
      <w:r>
        <w:t>Technical Publications team embarked on an initiative to simplify th</w:t>
      </w:r>
      <w:r w:rsidR="006C6ACF">
        <w:t>e process of documenting the Managing Information Base (MIB ) reference help. The existing process of documenting the MIB reference help was tedious and time consuming. It</w:t>
      </w:r>
      <w:r w:rsidR="00966AAB">
        <w:t xml:space="preserve"> </w:t>
      </w:r>
      <w:r>
        <w:t>involved</w:t>
      </w:r>
      <w:r w:rsidR="00966AAB">
        <w:t xml:space="preserve"> </w:t>
      </w:r>
      <w:r>
        <w:t xml:space="preserve">developing </w:t>
      </w:r>
      <w:r w:rsidR="00966AAB">
        <w:t xml:space="preserve">MIB </w:t>
      </w:r>
      <w:r>
        <w:t xml:space="preserve">reference </w:t>
      </w:r>
      <w:r w:rsidR="00966AAB">
        <w:t xml:space="preserve">content manually using the engineering </w:t>
      </w:r>
      <w:r w:rsidR="006C6ACF">
        <w:t>specifications</w:t>
      </w:r>
      <w:r>
        <w:t xml:space="preserve">. The entire documentation cycle required huge efforts in terms of time and resources. </w:t>
      </w:r>
      <w:r w:rsidR="00966AAB">
        <w:t xml:space="preserve">In addition, this process required maintenance of multiple documents in the content management system.  The manual extraction of information mandated review efforts by the SME as well as test efforts by the team to ensure that the quality was up to the mark. </w:t>
      </w:r>
    </w:p>
    <w:p w:rsidR="00966AAB" w:rsidRDefault="00966AAB" w:rsidP="00966AAB">
      <w:r>
        <w:t xml:space="preserve">We </w:t>
      </w:r>
      <w:r w:rsidR="00F65597">
        <w:t xml:space="preserve">came up with a process to </w:t>
      </w:r>
      <w:r>
        <w:t xml:space="preserve">extract the reference content </w:t>
      </w:r>
      <w:r w:rsidR="00CD0C53">
        <w:t xml:space="preserve">dynamically </w:t>
      </w:r>
      <w:r>
        <w:t xml:space="preserve">from the </w:t>
      </w:r>
      <w:r w:rsidR="00F65597">
        <w:t xml:space="preserve">source </w:t>
      </w:r>
      <w:r>
        <w:t>MIB files</w:t>
      </w:r>
      <w:r w:rsidR="00F65597">
        <w:t>. This source is</w:t>
      </w:r>
      <w:r>
        <w:t xml:space="preserve"> verified and also validated during the software development life cycle (SDLC). This ensure</w:t>
      </w:r>
      <w:r w:rsidR="00F71A59">
        <w:t>d accuracy and</w:t>
      </w:r>
      <w:r>
        <w:t xml:space="preserve"> quality of the end-user reference help. Applying XSLT and CSS </w:t>
      </w:r>
      <w:r w:rsidR="00F65597">
        <w:t xml:space="preserve">to the extracted content, </w:t>
      </w:r>
      <w:r>
        <w:t xml:space="preserve">we were able to process it and even format it. We could process multiple MIB files </w:t>
      </w:r>
      <w:r w:rsidR="00F71A59">
        <w:t>at</w:t>
      </w:r>
      <w:r>
        <w:t xml:space="preserve"> one go using batch processing.</w:t>
      </w:r>
      <w:r w:rsidR="00F65597">
        <w:t xml:space="preserve"> </w:t>
      </w:r>
      <w:r w:rsidR="00F65597" w:rsidRPr="00F65597">
        <w:t xml:space="preserve">Extracting content from the </w:t>
      </w:r>
      <w:r w:rsidR="00CF7A74">
        <w:t xml:space="preserve">engineering source files </w:t>
      </w:r>
      <w:r w:rsidR="00F65597" w:rsidRPr="00F65597">
        <w:t>ensure</w:t>
      </w:r>
      <w:r w:rsidR="000C3AD0">
        <w:t>d</w:t>
      </w:r>
      <w:r w:rsidR="00F65597" w:rsidRPr="00F65597">
        <w:t xml:space="preserve"> technical completeness</w:t>
      </w:r>
      <w:r w:rsidR="00F71A59">
        <w:t>;</w:t>
      </w:r>
      <w:r w:rsidR="00F65597" w:rsidRPr="00F65597">
        <w:t xml:space="preserve"> </w:t>
      </w:r>
      <w:r w:rsidR="00F71A59">
        <w:t>using XSLT resulted</w:t>
      </w:r>
      <w:r w:rsidR="00F65597" w:rsidRPr="00F65597">
        <w:t xml:space="preserve"> in good quality output. Also, the need for maintaining the documentation files is nullified resulting in zero maintenance cost.</w:t>
      </w:r>
    </w:p>
    <w:p w:rsidR="00966AAB" w:rsidRDefault="00966AAB" w:rsidP="00966AAB">
      <w:r>
        <w:t>The table below depicts the comparison between the legacy process and the new process.</w:t>
      </w:r>
    </w:p>
    <w:p w:rsidR="00966AAB" w:rsidRDefault="00966AAB" w:rsidP="00966AAB">
      <w:pPr>
        <w:pStyle w:val="Caption"/>
        <w:keepNext/>
      </w:pPr>
      <w:r>
        <w:t xml:space="preserve">Table </w:t>
      </w:r>
      <w:fldSimple w:instr=" SEQ Table \* ARABIC ">
        <w:r w:rsidR="00350391">
          <w:rPr>
            <w:noProof/>
          </w:rPr>
          <w:t>2</w:t>
        </w:r>
      </w:fldSimple>
      <w:r>
        <w:t xml:space="preserve"> Comparison between the legacy process and dynamic process</w:t>
      </w:r>
    </w:p>
    <w:tbl>
      <w:tblPr>
        <w:tblStyle w:val="TableGrid"/>
        <w:tblW w:w="0" w:type="auto"/>
        <w:tblLook w:val="04A0" w:firstRow="1" w:lastRow="0" w:firstColumn="1" w:lastColumn="0" w:noHBand="0" w:noVBand="1"/>
      </w:tblPr>
      <w:tblGrid>
        <w:gridCol w:w="4788"/>
        <w:gridCol w:w="4788"/>
      </w:tblGrid>
      <w:tr w:rsidR="00966AAB" w:rsidTr="000C3AD0">
        <w:trPr>
          <w:tblHeader/>
        </w:trPr>
        <w:tc>
          <w:tcPr>
            <w:tcW w:w="4788" w:type="dxa"/>
            <w:shd w:val="clear" w:color="auto" w:fill="D9D9D9" w:themeFill="background1" w:themeFillShade="D9"/>
          </w:tcPr>
          <w:p w:rsidR="00966AAB" w:rsidRPr="0064649B" w:rsidRDefault="00966AAB" w:rsidP="0087348A">
            <w:pPr>
              <w:rPr>
                <w:b/>
              </w:rPr>
            </w:pPr>
            <w:r w:rsidRPr="0064649B">
              <w:rPr>
                <w:b/>
              </w:rPr>
              <w:t>Legacy process</w:t>
            </w:r>
          </w:p>
        </w:tc>
        <w:tc>
          <w:tcPr>
            <w:tcW w:w="4788" w:type="dxa"/>
            <w:shd w:val="clear" w:color="auto" w:fill="D9D9D9" w:themeFill="background1" w:themeFillShade="D9"/>
          </w:tcPr>
          <w:p w:rsidR="00966AAB" w:rsidRPr="0064649B" w:rsidRDefault="00966AAB" w:rsidP="0087348A">
            <w:pPr>
              <w:rPr>
                <w:b/>
              </w:rPr>
            </w:pPr>
            <w:r>
              <w:rPr>
                <w:b/>
              </w:rPr>
              <w:t>New</w:t>
            </w:r>
            <w:r w:rsidRPr="0064649B">
              <w:rPr>
                <w:b/>
              </w:rPr>
              <w:t xml:space="preserve"> process</w:t>
            </w:r>
          </w:p>
        </w:tc>
      </w:tr>
      <w:tr w:rsidR="00966AAB" w:rsidTr="0087348A">
        <w:tc>
          <w:tcPr>
            <w:tcW w:w="4788" w:type="dxa"/>
          </w:tcPr>
          <w:p w:rsidR="00966AAB" w:rsidRDefault="00966AAB" w:rsidP="005A47C2">
            <w:r>
              <w:t>640 person hours (</w:t>
            </w:r>
            <w:r w:rsidR="005A47C2">
              <w:t>involving</w:t>
            </w:r>
            <w:r>
              <w:t xml:space="preserve"> multiple resources ) per release for 50 MIB files</w:t>
            </w:r>
          </w:p>
        </w:tc>
        <w:tc>
          <w:tcPr>
            <w:tcW w:w="4788" w:type="dxa"/>
          </w:tcPr>
          <w:p w:rsidR="00966AAB" w:rsidRDefault="00966AAB" w:rsidP="0087348A">
            <w:r>
              <w:t>4 person hours (typically by one resource) per release for 50 MIB files</w:t>
            </w:r>
          </w:p>
        </w:tc>
      </w:tr>
      <w:tr w:rsidR="00966AAB" w:rsidTr="0087348A">
        <w:tc>
          <w:tcPr>
            <w:tcW w:w="4788" w:type="dxa"/>
          </w:tcPr>
          <w:p w:rsidR="00966AAB" w:rsidRDefault="00966AAB" w:rsidP="0087348A">
            <w:r>
              <w:t>Requires ~200 hours of efforts from SME for review and test efforts</w:t>
            </w:r>
          </w:p>
        </w:tc>
        <w:tc>
          <w:tcPr>
            <w:tcW w:w="4788" w:type="dxa"/>
          </w:tcPr>
          <w:p w:rsidR="00966AAB" w:rsidRDefault="00966AAB" w:rsidP="005A47C2">
            <w:r>
              <w:t>SME needs to review the structure only</w:t>
            </w:r>
            <w:r w:rsidR="00D75A83">
              <w:t>,</w:t>
            </w:r>
            <w:r>
              <w:t xml:space="preserve"> saving about </w:t>
            </w:r>
            <w:r w:rsidR="00D75A83">
              <w:t>~</w:t>
            </w:r>
            <w:r>
              <w:t>190 hours</w:t>
            </w:r>
            <w:r w:rsidR="005A47C2">
              <w:t xml:space="preserve">; </w:t>
            </w:r>
            <w:r w:rsidR="00D75A83">
              <w:t xml:space="preserve"> test efforts </w:t>
            </w:r>
            <w:r w:rsidR="005A47C2">
              <w:t>required</w:t>
            </w:r>
            <w:r w:rsidR="00D75A83">
              <w:t xml:space="preserve"> two hours </w:t>
            </w:r>
            <w:r w:rsidR="005A47C2">
              <w:t xml:space="preserve">only </w:t>
            </w:r>
            <w:r w:rsidR="00D75A83">
              <w:t xml:space="preserve">to verify if all the MIB files were generated </w:t>
            </w:r>
            <w:r w:rsidR="00D75A83">
              <w:lastRenderedPageBreak/>
              <w:t>and imported appropriately</w:t>
            </w:r>
          </w:p>
        </w:tc>
      </w:tr>
      <w:tr w:rsidR="00966AAB" w:rsidTr="0087348A">
        <w:tc>
          <w:tcPr>
            <w:tcW w:w="4788" w:type="dxa"/>
          </w:tcPr>
          <w:p w:rsidR="00966AAB" w:rsidRDefault="00966AAB" w:rsidP="00D75A83">
            <w:r>
              <w:lastRenderedPageBreak/>
              <w:t xml:space="preserve">Content </w:t>
            </w:r>
            <w:r w:rsidR="00D75A83">
              <w:t>had</w:t>
            </w:r>
            <w:r>
              <w:t xml:space="preserve"> to be maintained in the content management system</w:t>
            </w:r>
          </w:p>
        </w:tc>
        <w:tc>
          <w:tcPr>
            <w:tcW w:w="4788" w:type="dxa"/>
          </w:tcPr>
          <w:p w:rsidR="00966AAB" w:rsidRDefault="00966AAB" w:rsidP="0087348A">
            <w:r>
              <w:t>Fresh content is generated for every release automatically from the source files; hence no maintenance of content is required</w:t>
            </w:r>
          </w:p>
        </w:tc>
      </w:tr>
      <w:tr w:rsidR="00966AAB" w:rsidTr="0087348A">
        <w:tc>
          <w:tcPr>
            <w:tcW w:w="4788" w:type="dxa"/>
          </w:tcPr>
          <w:p w:rsidR="00966AAB" w:rsidRDefault="00966AAB" w:rsidP="006C6ACF">
            <w:r>
              <w:t xml:space="preserve">Data extracted </w:t>
            </w:r>
            <w:r w:rsidR="00D75A83">
              <w:t xml:space="preserve">manually </w:t>
            </w:r>
            <w:r>
              <w:t xml:space="preserve">from </w:t>
            </w:r>
            <w:r w:rsidR="006C6ACF">
              <w:t>engineering specifications</w:t>
            </w:r>
            <w:r>
              <w:t>, hence prone to errors</w:t>
            </w:r>
          </w:p>
        </w:tc>
        <w:tc>
          <w:tcPr>
            <w:tcW w:w="4788" w:type="dxa"/>
          </w:tcPr>
          <w:p w:rsidR="00966AAB" w:rsidRDefault="00966AAB" w:rsidP="0087348A">
            <w:r>
              <w:t xml:space="preserve">Data extraction </w:t>
            </w:r>
            <w:r w:rsidR="008C55B6">
              <w:t xml:space="preserve">from MIB source files, </w:t>
            </w:r>
            <w:r>
              <w:t>handled by XSLT, hen</w:t>
            </w:r>
            <w:r w:rsidR="00D75A83">
              <w:t>ce good quality output achieved</w:t>
            </w:r>
          </w:p>
        </w:tc>
      </w:tr>
      <w:tr w:rsidR="00966AAB" w:rsidTr="0087348A">
        <w:tc>
          <w:tcPr>
            <w:tcW w:w="4788" w:type="dxa"/>
          </w:tcPr>
          <w:p w:rsidR="00966AAB" w:rsidRDefault="00966AAB" w:rsidP="0087348A">
            <w:r>
              <w:t xml:space="preserve">Difficult to include features </w:t>
            </w:r>
            <w:r w:rsidR="00D75A83">
              <w:t xml:space="preserve">like advanced search, and sort unless supported in the authoring tool </w:t>
            </w:r>
          </w:p>
        </w:tc>
        <w:tc>
          <w:tcPr>
            <w:tcW w:w="4788" w:type="dxa"/>
          </w:tcPr>
          <w:p w:rsidR="00966AAB" w:rsidRDefault="00966AAB" w:rsidP="005A47C2">
            <w:r>
              <w:t xml:space="preserve">Very easy to include features </w:t>
            </w:r>
            <w:r w:rsidR="005A47C2">
              <w:t>such as</w:t>
            </w:r>
            <w:r>
              <w:t xml:space="preserve"> advanced search, sort, sort based on conditions, using embedded </w:t>
            </w:r>
            <w:proofErr w:type="spellStart"/>
            <w:r>
              <w:t>Javascripts</w:t>
            </w:r>
            <w:proofErr w:type="spellEnd"/>
            <w:r>
              <w:t>.</w:t>
            </w:r>
          </w:p>
        </w:tc>
      </w:tr>
      <w:tr w:rsidR="00966AAB" w:rsidTr="0087348A">
        <w:tc>
          <w:tcPr>
            <w:tcW w:w="4788" w:type="dxa"/>
          </w:tcPr>
          <w:p w:rsidR="00966AAB" w:rsidRDefault="00966AAB" w:rsidP="0087348A">
            <w:r>
              <w:t>Help topics created in the authoring tool</w:t>
            </w:r>
          </w:p>
        </w:tc>
        <w:tc>
          <w:tcPr>
            <w:tcW w:w="4788" w:type="dxa"/>
          </w:tcPr>
          <w:p w:rsidR="00966AAB" w:rsidRDefault="00966AAB" w:rsidP="0087348A">
            <w:r>
              <w:t xml:space="preserve">Dynamically generated topics can be published as stand-alone help or imported </w:t>
            </w:r>
            <w:r w:rsidR="005A47C2">
              <w:t xml:space="preserve">in </w:t>
            </w:r>
            <w:r>
              <w:t>to the authoring tool to be published along with other topics</w:t>
            </w:r>
          </w:p>
        </w:tc>
      </w:tr>
    </w:tbl>
    <w:p w:rsidR="00966AAB" w:rsidRDefault="00966AAB" w:rsidP="00966AAB"/>
    <w:p w:rsidR="00966AAB" w:rsidRPr="00A47254" w:rsidRDefault="00966AAB" w:rsidP="00F47D2C">
      <w:pPr>
        <w:pStyle w:val="ListParagraph"/>
        <w:numPr>
          <w:ilvl w:val="0"/>
          <w:numId w:val="1"/>
        </w:numPr>
        <w:spacing w:after="0" w:line="240" w:lineRule="auto"/>
        <w:ind w:left="0" w:hanging="450"/>
        <w:rPr>
          <w:rFonts w:ascii="Arial Black" w:eastAsia="Times New Roman" w:hAnsi="Arial Black" w:cs="Times New Roman"/>
          <w:b/>
          <w:sz w:val="24"/>
          <w:szCs w:val="24"/>
        </w:rPr>
      </w:pPr>
      <w:r w:rsidRPr="00A47254">
        <w:rPr>
          <w:rFonts w:ascii="Arial Black" w:eastAsia="Times New Roman" w:hAnsi="Arial Black" w:cs="Times New Roman"/>
          <w:b/>
          <w:sz w:val="24"/>
          <w:szCs w:val="24"/>
        </w:rPr>
        <w:t>Customer Focus—The best practice features improved methods or processes to incorporate customer needs in the information development process. There is clear evidence that customer input was used in the early design and development stages. *</w:t>
      </w:r>
    </w:p>
    <w:p w:rsidR="00966AAB" w:rsidRPr="00F47D2C" w:rsidRDefault="00966AAB" w:rsidP="00F47D2C">
      <w:pPr>
        <w:pStyle w:val="ListParagraph"/>
        <w:spacing w:after="0" w:line="240" w:lineRule="auto"/>
        <w:ind w:left="0"/>
        <w:rPr>
          <w:rFonts w:ascii="Arial Black" w:eastAsia="Times New Roman" w:hAnsi="Arial Black" w:cs="Times New Roman"/>
          <w:b/>
          <w:color w:val="0070C0"/>
          <w:sz w:val="24"/>
          <w:szCs w:val="24"/>
        </w:rPr>
      </w:pPr>
    </w:p>
    <w:p w:rsidR="00F65597" w:rsidRDefault="00966AAB" w:rsidP="00F65597">
      <w:r>
        <w:t xml:space="preserve">The inflow of support tickets </w:t>
      </w:r>
      <w:r w:rsidR="00A47254">
        <w:t xml:space="preserve">and queries </w:t>
      </w:r>
      <w:r>
        <w:t>related to the MIB</w:t>
      </w:r>
      <w:r w:rsidR="005A47C2">
        <w:t>s</w:t>
      </w:r>
      <w:r>
        <w:t xml:space="preserve"> reference help had increased manifold</w:t>
      </w:r>
      <w:r w:rsidR="00F47D2C">
        <w:t>.</w:t>
      </w:r>
      <w:r>
        <w:t xml:space="preserve"> The </w:t>
      </w:r>
      <w:r w:rsidR="00F65597">
        <w:t xml:space="preserve">customer support </w:t>
      </w:r>
      <w:r>
        <w:t>team found it difficult to handle the enormous number of queries on a regular basis</w:t>
      </w:r>
      <w:r w:rsidR="00F65597">
        <w:t xml:space="preserve"> </w:t>
      </w:r>
      <w:r w:rsidR="00F65597" w:rsidRPr="007D74A5">
        <w:t>using the legacy process as it involved tracking the MIB information manually</w:t>
      </w:r>
      <w:r>
        <w:t xml:space="preserve">.  These customer queries were often redirected to the </w:t>
      </w:r>
      <w:r w:rsidR="005A47C2">
        <w:t>T</w:t>
      </w:r>
      <w:r>
        <w:t xml:space="preserve">echnical </w:t>
      </w:r>
      <w:r w:rsidR="005A47C2">
        <w:t>P</w:t>
      </w:r>
      <w:r>
        <w:t>ublications team. Maintaining up-to-date information and providing the required information to the end-user in a user-friendly format had become a challenge.</w:t>
      </w:r>
      <w:r w:rsidR="00F65597" w:rsidRPr="007D74A5">
        <w:t xml:space="preserve"> This also consumed time in terms of cycles of communication between customer, customer </w:t>
      </w:r>
      <w:r w:rsidR="008C55B6">
        <w:t>support team</w:t>
      </w:r>
      <w:r w:rsidR="00F65597" w:rsidRPr="007D74A5">
        <w:t xml:space="preserve">, and </w:t>
      </w:r>
      <w:r w:rsidR="005A47C2">
        <w:t>T</w:t>
      </w:r>
      <w:r w:rsidR="00F65597" w:rsidRPr="007D74A5">
        <w:t xml:space="preserve">echnical </w:t>
      </w:r>
      <w:r w:rsidR="005A47C2">
        <w:t>P</w:t>
      </w:r>
      <w:r w:rsidR="00F65597" w:rsidRPr="007D74A5">
        <w:t>ublications team.</w:t>
      </w:r>
    </w:p>
    <w:p w:rsidR="00966AAB" w:rsidRDefault="00966AAB" w:rsidP="00966AAB">
      <w:r>
        <w:t xml:space="preserve">Knowing the importance of the MIB </w:t>
      </w:r>
      <w:r w:rsidR="00A47254">
        <w:t>reference</w:t>
      </w:r>
      <w:r>
        <w:t>, it was imperative that we provide</w:t>
      </w:r>
      <w:r w:rsidR="005A47C2">
        <w:t>d</w:t>
      </w:r>
      <w:r>
        <w:t xml:space="preserve"> up-to-date, accurate and concise MIBs reference help to the end-user. MIB files themselves are difficult to read</w:t>
      </w:r>
      <w:r w:rsidR="005A47C2">
        <w:t>;</w:t>
      </w:r>
      <w:r>
        <w:t xml:space="preserve"> they are only meant to </w:t>
      </w:r>
      <w:r w:rsidR="00F47D2C">
        <w:t>be imported or “compiled” by a</w:t>
      </w:r>
      <w:r w:rsidR="008C55B6">
        <w:t xml:space="preserve"> network manager. An example is </w:t>
      </w:r>
      <w:r w:rsidR="005A47C2">
        <w:t>shown</w:t>
      </w:r>
      <w:r>
        <w:t xml:space="preserve"> </w:t>
      </w:r>
      <w:r w:rsidR="008C55B6">
        <w:t>here</w:t>
      </w:r>
      <w:r>
        <w:t>.</w:t>
      </w:r>
    </w:p>
    <w:p w:rsidR="00B33629" w:rsidRDefault="00B33629" w:rsidP="00B33629">
      <w:pPr>
        <w:pStyle w:val="Caption"/>
        <w:keepNext/>
      </w:pPr>
      <w:r>
        <w:lastRenderedPageBreak/>
        <w:t xml:space="preserve">Figure </w:t>
      </w:r>
      <w:fldSimple w:instr=" SEQ Figure \* ARABIC ">
        <w:r>
          <w:rPr>
            <w:noProof/>
          </w:rPr>
          <w:t>1</w:t>
        </w:r>
      </w:fldSimple>
      <w:r>
        <w:t xml:space="preserve"> MIB Source File</w:t>
      </w:r>
    </w:p>
    <w:p w:rsidR="00966AAB" w:rsidRDefault="008B1F1E" w:rsidP="00966AAB">
      <w:r>
        <w:rPr>
          <w:noProof/>
        </w:rPr>
        <w:drawing>
          <wp:inline distT="0" distB="0" distL="0" distR="0" wp14:anchorId="10D81801" wp14:editId="4D1D97E8">
            <wp:extent cx="4638675" cy="3533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638675" cy="3533775"/>
                    </a:xfrm>
                    <a:prstGeom prst="rect">
                      <a:avLst/>
                    </a:prstGeom>
                  </pic:spPr>
                </pic:pic>
              </a:graphicData>
            </a:graphic>
          </wp:inline>
        </w:drawing>
      </w:r>
    </w:p>
    <w:p w:rsidR="00966AAB" w:rsidRDefault="00966AAB" w:rsidP="00966AAB">
      <w:r>
        <w:t xml:space="preserve">The new process of generating MIB reference help ensures that critical information </w:t>
      </w:r>
      <w:r w:rsidR="005A47C2">
        <w:t>such as</w:t>
      </w:r>
      <w:r>
        <w:t xml:space="preserve"> the access type, the current status of the object, alarms (if any), and </w:t>
      </w:r>
      <w:r w:rsidR="00F47D2C">
        <w:t xml:space="preserve">the </w:t>
      </w:r>
      <w:r>
        <w:t xml:space="preserve">APIs is readily available to the end user in a format that can be interpreted easily. The new dynamic help also saves additional efforts of </w:t>
      </w:r>
      <w:r w:rsidR="005A47C2">
        <w:t>a</w:t>
      </w:r>
      <w:r>
        <w:t xml:space="preserve"> user navigat</w:t>
      </w:r>
      <w:r w:rsidR="005A47C2">
        <w:t>ing</w:t>
      </w:r>
      <w:r>
        <w:t xml:space="preserve"> to multiple sections</w:t>
      </w:r>
      <w:r w:rsidR="005A47C2">
        <w:t xml:space="preserve"> and </w:t>
      </w:r>
      <w:r>
        <w:t>documents to determine related details of an MIB object</w:t>
      </w:r>
      <w:r w:rsidR="005A47C2">
        <w:t>,</w:t>
      </w:r>
      <w:r>
        <w:t xml:space="preserve"> as all the details related to a MIB object are grouped together.  This help system provides advanced features like sort, sort based on conditions, advanced search options and DHTML effects in the help library that gives a great user experience, </w:t>
      </w:r>
      <w:r w:rsidR="005A47C2">
        <w:t>shown</w:t>
      </w:r>
      <w:r>
        <w:t xml:space="preserve"> in the </w:t>
      </w:r>
      <w:r w:rsidR="005A47C2">
        <w:t xml:space="preserve">given </w:t>
      </w:r>
      <w:r>
        <w:t>example.</w:t>
      </w:r>
    </w:p>
    <w:p w:rsidR="00B33629" w:rsidRDefault="00B33629" w:rsidP="00B33629">
      <w:pPr>
        <w:pStyle w:val="Caption"/>
        <w:keepNext/>
      </w:pPr>
      <w:r>
        <w:lastRenderedPageBreak/>
        <w:t xml:space="preserve">Figure </w:t>
      </w:r>
      <w:fldSimple w:instr=" SEQ Figure \* ARABIC ">
        <w:r>
          <w:rPr>
            <w:noProof/>
          </w:rPr>
          <w:t>2</w:t>
        </w:r>
      </w:fldSimple>
      <w:r>
        <w:t xml:space="preserve"> Generated HTML File</w:t>
      </w:r>
    </w:p>
    <w:p w:rsidR="00966AAB" w:rsidRDefault="007C28A1" w:rsidP="00966AAB">
      <w:r>
        <w:rPr>
          <w:noProof/>
        </w:rPr>
        <w:drawing>
          <wp:inline distT="0" distB="0" distL="0" distR="0">
            <wp:extent cx="4400550" cy="3219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0550" cy="3219450"/>
                    </a:xfrm>
                    <a:prstGeom prst="rect">
                      <a:avLst/>
                    </a:prstGeom>
                    <a:noFill/>
                    <a:ln>
                      <a:noFill/>
                    </a:ln>
                  </pic:spPr>
                </pic:pic>
              </a:graphicData>
            </a:graphic>
          </wp:inline>
        </w:drawing>
      </w:r>
    </w:p>
    <w:p w:rsidR="00966AAB" w:rsidRPr="00A47254" w:rsidRDefault="00966AAB" w:rsidP="00F47D2C">
      <w:pPr>
        <w:pStyle w:val="ListParagraph"/>
        <w:numPr>
          <w:ilvl w:val="0"/>
          <w:numId w:val="1"/>
        </w:numPr>
        <w:spacing w:after="0" w:line="240" w:lineRule="auto"/>
        <w:ind w:left="0" w:hanging="450"/>
        <w:rPr>
          <w:rFonts w:ascii="Arial Black" w:eastAsia="Times New Roman" w:hAnsi="Arial Black" w:cs="Times New Roman"/>
          <w:b/>
          <w:bCs/>
          <w:sz w:val="24"/>
          <w:szCs w:val="24"/>
        </w:rPr>
      </w:pPr>
      <w:r w:rsidRPr="00A47254">
        <w:rPr>
          <w:rFonts w:ascii="Arial Black" w:eastAsia="Times New Roman" w:hAnsi="Arial Black" w:cs="Times New Roman"/>
          <w:b/>
          <w:sz w:val="24"/>
          <w:szCs w:val="24"/>
        </w:rPr>
        <w:t xml:space="preserve">Transferability—The processes shown in this best practice could be transferred directly or with some modifications to other publications organizations. If adopted, the work has a high probability of offering similar improvements at the transfer site. </w:t>
      </w:r>
      <w:r w:rsidRPr="00A47254">
        <w:rPr>
          <w:rFonts w:ascii="Arial Black" w:eastAsia="Times New Roman" w:hAnsi="Arial Black" w:cs="Times New Roman"/>
          <w:b/>
          <w:bCs/>
          <w:sz w:val="24"/>
          <w:szCs w:val="24"/>
        </w:rPr>
        <w:t>*</w:t>
      </w:r>
    </w:p>
    <w:p w:rsidR="00966AAB" w:rsidRDefault="00966AAB" w:rsidP="00966AAB">
      <w:pPr>
        <w:spacing w:after="0" w:line="240" w:lineRule="auto"/>
        <w:rPr>
          <w:rFonts w:ascii="Arial Black" w:eastAsia="Times New Roman" w:hAnsi="Arial Black" w:cs="Times New Roman"/>
          <w:b/>
          <w:bCs/>
          <w:color w:val="0070C0"/>
          <w:sz w:val="24"/>
          <w:szCs w:val="24"/>
        </w:rPr>
      </w:pPr>
    </w:p>
    <w:p w:rsidR="00A47254" w:rsidRDefault="00966AAB" w:rsidP="00966AAB">
      <w:r>
        <w:t>This process can be used to generate HTML/XML help files from any engineering source</w:t>
      </w:r>
      <w:r w:rsidR="00A47254">
        <w:t xml:space="preserve"> </w:t>
      </w:r>
      <w:r w:rsidR="008B1F1E">
        <w:t>or code base</w:t>
      </w:r>
      <w:r>
        <w:t xml:space="preserve">. The generated HTML/XML files can be imported seamlessly into any authoring tool that supports XML/HTML to create the desired output (HTML5, </w:t>
      </w:r>
      <w:proofErr w:type="spellStart"/>
      <w:r>
        <w:t>Webhelp</w:t>
      </w:r>
      <w:proofErr w:type="spellEnd"/>
      <w:r>
        <w:t>, HMTL, DITA)</w:t>
      </w:r>
      <w:r w:rsidR="005A47C2">
        <w:t>,</w:t>
      </w:r>
      <w:r>
        <w:t xml:space="preserve"> </w:t>
      </w:r>
      <w:r w:rsidR="005A47C2">
        <w:t>in addition to</w:t>
      </w:r>
      <w:r>
        <w:t xml:space="preserve"> any other existing content. The generated files can also be published directly as standalone help using free tools </w:t>
      </w:r>
      <w:r w:rsidR="005A47C2">
        <w:t>such as</w:t>
      </w:r>
      <w:r>
        <w:t xml:space="preserve"> HTML workshop. Some examples where this process can be applied are</w:t>
      </w:r>
      <w:r w:rsidR="005A47C2">
        <w:t>:</w:t>
      </w:r>
      <w:r>
        <w:t xml:space="preserve"> API reference, Commands reference, Alarms reference, Known issues and workarounds for release notes</w:t>
      </w:r>
      <w:r w:rsidR="005A47C2">
        <w:t>;</w:t>
      </w:r>
      <w:r>
        <w:t xml:space="preserve"> the list is endless. A</w:t>
      </w:r>
      <w:r w:rsidR="005A47C2">
        <w:t xml:space="preserve"> </w:t>
      </w:r>
      <w:r>
        <w:t>basic knowledge of XML, XSLT and CSS</w:t>
      </w:r>
      <w:r w:rsidR="005A47C2">
        <w:t xml:space="preserve"> is required to implement this process</w:t>
      </w:r>
      <w:r>
        <w:t xml:space="preserve">. </w:t>
      </w:r>
    </w:p>
    <w:p w:rsidR="00966AAB" w:rsidRDefault="00F47D2C" w:rsidP="00966AAB">
      <w:r>
        <w:t xml:space="preserve">This process does not require any specific </w:t>
      </w:r>
      <w:r w:rsidR="005B5A2E">
        <w:t>tool</w:t>
      </w:r>
      <w:r w:rsidR="00907EFF">
        <w:t xml:space="preserve">. </w:t>
      </w:r>
      <w:r w:rsidR="00907EFF" w:rsidRPr="009224F0">
        <w:t>Using any scripting language (Perl for example), we can extract information, process it using XSLT, and run a batch file to generate multiple files in one go.</w:t>
      </w:r>
      <w:r>
        <w:t xml:space="preserve"> </w:t>
      </w:r>
      <w:r w:rsidR="00907EFF">
        <w:t>A</w:t>
      </w:r>
      <w:r>
        <w:t xml:space="preserve">ny free source code editor </w:t>
      </w:r>
      <w:r w:rsidR="00640FA1">
        <w:t xml:space="preserve">(like Notepad++) </w:t>
      </w:r>
      <w:r>
        <w:t xml:space="preserve">can be used to create the </w:t>
      </w:r>
      <w:r w:rsidR="00A47254">
        <w:t>Perl/</w:t>
      </w:r>
      <w:r>
        <w:t xml:space="preserve">XSLT/Batch file. </w:t>
      </w:r>
      <w:r w:rsidR="00240889">
        <w:t>Therefore</w:t>
      </w:r>
      <w:r>
        <w:t xml:space="preserve">, it is cost efficient too. </w:t>
      </w:r>
      <w:r w:rsidR="00966AAB">
        <w:t xml:space="preserve">One need not worry about the huge number of files that need to be </w:t>
      </w:r>
      <w:r w:rsidR="005B5A2E">
        <w:t>handled</w:t>
      </w:r>
      <w:r w:rsidR="00966AAB">
        <w:t xml:space="preserve">. Multiple files can be handled </w:t>
      </w:r>
      <w:r w:rsidR="00240889">
        <w:t>at</w:t>
      </w:r>
      <w:r w:rsidR="00966AAB">
        <w:t xml:space="preserve"> one go using batch processing.</w:t>
      </w:r>
      <w:r w:rsidR="00966AAB" w:rsidRPr="004911BA">
        <w:t xml:space="preserve"> </w:t>
      </w:r>
      <w:r w:rsidR="00966AAB">
        <w:t xml:space="preserve"> Creating a batch file is a one-time activity. </w:t>
      </w:r>
      <w:r w:rsidR="008B1F1E">
        <w:t>Maintenance of the Perl and XSLT scripts is easy as these scripts are small and simple.</w:t>
      </w:r>
    </w:p>
    <w:p w:rsidR="00966AAB" w:rsidRPr="00A47254" w:rsidRDefault="00966AAB" w:rsidP="00F47D2C">
      <w:pPr>
        <w:pStyle w:val="ListParagraph"/>
        <w:numPr>
          <w:ilvl w:val="0"/>
          <w:numId w:val="1"/>
        </w:numPr>
        <w:spacing w:after="0" w:line="240" w:lineRule="auto"/>
        <w:ind w:left="0" w:hanging="450"/>
        <w:rPr>
          <w:rFonts w:ascii="Arial Black" w:eastAsia="Times New Roman" w:hAnsi="Arial Black" w:cs="Times New Roman"/>
          <w:b/>
          <w:sz w:val="24"/>
          <w:szCs w:val="24"/>
        </w:rPr>
      </w:pPr>
      <w:r w:rsidRPr="00A47254">
        <w:rPr>
          <w:rFonts w:ascii="Arial Black" w:eastAsia="Times New Roman" w:hAnsi="Arial Black" w:cs="Times New Roman"/>
          <w:b/>
          <w:sz w:val="24"/>
          <w:szCs w:val="24"/>
        </w:rPr>
        <w:lastRenderedPageBreak/>
        <w:t xml:space="preserve">Innovation—The best practice offers unique approaches to traditional elements of information management, new processes, methods, or technologies that facilitate improvements in the way information management groups work within their company, with customers, or in the delivery of their products. The innovation should be measurable in business terms, such as reduced customer support calls, faster time to market, increased technical accuracy, easy access to concise information, and so on. </w:t>
      </w:r>
      <w:r w:rsidRPr="00A47254">
        <w:rPr>
          <w:rFonts w:ascii="Arial Black" w:eastAsia="Times New Roman" w:hAnsi="Arial Black" w:cs="Times New Roman"/>
          <w:b/>
          <w:bCs/>
          <w:sz w:val="24"/>
          <w:szCs w:val="24"/>
        </w:rPr>
        <w:t>*</w:t>
      </w:r>
      <w:r w:rsidRPr="00A47254">
        <w:rPr>
          <w:rFonts w:ascii="Arial Black" w:eastAsia="Times New Roman" w:hAnsi="Arial Black" w:cs="Times New Roman"/>
          <w:b/>
          <w:sz w:val="24"/>
          <w:szCs w:val="24"/>
        </w:rPr>
        <w:t xml:space="preserve"> </w:t>
      </w:r>
    </w:p>
    <w:p w:rsidR="007D74A5" w:rsidRPr="00AF3AA9" w:rsidRDefault="007D74A5" w:rsidP="009224F0">
      <w:pPr>
        <w:pStyle w:val="ListParagraph"/>
        <w:spacing w:after="0" w:line="240" w:lineRule="auto"/>
        <w:ind w:left="0"/>
        <w:rPr>
          <w:rFonts w:ascii="Arial Black" w:eastAsia="Times New Roman" w:hAnsi="Arial Black" w:cs="Times New Roman"/>
          <w:b/>
          <w:color w:val="0070C0"/>
          <w:sz w:val="24"/>
          <w:szCs w:val="24"/>
        </w:rPr>
      </w:pPr>
    </w:p>
    <w:p w:rsidR="00966AAB" w:rsidRDefault="00966AAB" w:rsidP="00966AAB">
      <w:r>
        <w:t>A support ticket logged by a customer to</w:t>
      </w:r>
      <w:r w:rsidR="00240889">
        <w:t>wards</w:t>
      </w:r>
      <w:r>
        <w:t xml:space="preserve"> resol</w:t>
      </w:r>
      <w:r w:rsidR="00240889">
        <w:t>ution of</w:t>
      </w:r>
      <w:r>
        <w:t xml:space="preserve"> any MIB reference issue typically spanned </w:t>
      </w:r>
      <w:r w:rsidR="00240889">
        <w:t>across</w:t>
      </w:r>
      <w:r>
        <w:t xml:space="preserve"> 2 to 3 weeks as this involved multiple levels of scanning and analysis</w:t>
      </w:r>
      <w:r w:rsidR="00240889">
        <w:t>, after which it</w:t>
      </w:r>
      <w:r>
        <w:t xml:space="preserve"> </w:t>
      </w:r>
      <w:r w:rsidR="00240889">
        <w:t>was</w:t>
      </w:r>
      <w:r>
        <w:t xml:space="preserve"> redirected to the </w:t>
      </w:r>
      <w:r w:rsidR="00240889">
        <w:t>T</w:t>
      </w:r>
      <w:r>
        <w:t xml:space="preserve">echnical </w:t>
      </w:r>
      <w:r w:rsidR="00240889">
        <w:t>P</w:t>
      </w:r>
      <w:r>
        <w:t xml:space="preserve">ublications team.  With the new process in place, not </w:t>
      </w:r>
      <w:r w:rsidR="00F65597">
        <w:t xml:space="preserve">only </w:t>
      </w:r>
      <w:r>
        <w:t>the time to resolve the support query is reduced</w:t>
      </w:r>
      <w:r w:rsidR="00ED1034">
        <w:t xml:space="preserve"> to about 2-3 days</w:t>
      </w:r>
      <w:r>
        <w:t>, but the number of MIB reference information related queries also ha</w:t>
      </w:r>
      <w:r w:rsidR="00240889">
        <w:t>s</w:t>
      </w:r>
      <w:r>
        <w:t xml:space="preserve"> also been reduced immensely. This can be attributed to the fact that the new process</w:t>
      </w:r>
      <w:r w:rsidRPr="00241BDB">
        <w:t xml:space="preserve"> </w:t>
      </w:r>
      <w:r>
        <w:t xml:space="preserve">MIB reference help uses content from </w:t>
      </w:r>
      <w:r w:rsidR="00240889">
        <w:t>an</w:t>
      </w:r>
      <w:r>
        <w:t xml:space="preserve"> already verified and validated engineering source.</w:t>
      </w:r>
      <w:r w:rsidR="00F65597">
        <w:t xml:space="preserve"> </w:t>
      </w:r>
    </w:p>
    <w:p w:rsidR="007D74A5" w:rsidRDefault="00966AAB" w:rsidP="009224F0">
      <w:pPr>
        <w:autoSpaceDE w:val="0"/>
        <w:autoSpaceDN w:val="0"/>
        <w:spacing w:after="0" w:line="240" w:lineRule="auto"/>
      </w:pPr>
      <w:r>
        <w:t>The generation of reference help can conveniently be taken up late in the release as the entire process can be completed in matter of a few hours</w:t>
      </w:r>
      <w:r w:rsidR="000C3AD0">
        <w:t>.</w:t>
      </w:r>
      <w:r w:rsidR="007D74A5">
        <w:t xml:space="preserve"> </w:t>
      </w:r>
      <w:r w:rsidR="000C3AD0">
        <w:t>Unlike other documentation cycles that require review and test cycles</w:t>
      </w:r>
      <w:r w:rsidR="006C6ACF">
        <w:t xml:space="preserve"> for </w:t>
      </w:r>
      <w:proofErr w:type="spellStart"/>
      <w:r w:rsidR="006C6ACF">
        <w:t>qulaity</w:t>
      </w:r>
      <w:proofErr w:type="spellEnd"/>
      <w:r w:rsidR="000C3AD0">
        <w:t xml:space="preserve">, this process </w:t>
      </w:r>
      <w:r w:rsidR="007D74A5" w:rsidRPr="007D74A5">
        <w:t xml:space="preserve">is </w:t>
      </w:r>
      <w:r w:rsidR="000C3AD0">
        <w:t>a</w:t>
      </w:r>
      <w:r w:rsidR="007D74A5" w:rsidRPr="007D74A5">
        <w:t xml:space="preserve"> one time activity that ensures completeness and accuracy.</w:t>
      </w:r>
      <w:r w:rsidR="007D74A5">
        <w:t xml:space="preserve"> </w:t>
      </w:r>
    </w:p>
    <w:p w:rsidR="009224F0" w:rsidRPr="00C73AFD" w:rsidRDefault="009224F0" w:rsidP="00C73AFD">
      <w:pPr>
        <w:pStyle w:val="ListParagraph"/>
        <w:spacing w:after="0" w:line="240" w:lineRule="auto"/>
        <w:ind w:left="0"/>
        <w:rPr>
          <w:rFonts w:ascii="Arial Black" w:eastAsia="Times New Roman" w:hAnsi="Arial Black" w:cs="Times New Roman"/>
          <w:b/>
          <w:sz w:val="24"/>
          <w:szCs w:val="24"/>
        </w:rPr>
      </w:pPr>
    </w:p>
    <w:p w:rsidR="00966AAB" w:rsidRPr="00C73AFD" w:rsidRDefault="00966AAB" w:rsidP="00C73AFD">
      <w:pPr>
        <w:pStyle w:val="ListParagraph"/>
        <w:numPr>
          <w:ilvl w:val="0"/>
          <w:numId w:val="1"/>
        </w:numPr>
        <w:spacing w:after="0" w:line="240" w:lineRule="auto"/>
        <w:ind w:left="0" w:hanging="450"/>
        <w:rPr>
          <w:rFonts w:ascii="Arial Black" w:eastAsia="Times New Roman" w:hAnsi="Arial Black" w:cs="Times New Roman"/>
          <w:b/>
          <w:sz w:val="24"/>
          <w:szCs w:val="24"/>
        </w:rPr>
      </w:pPr>
      <w:r w:rsidRPr="00C73AFD">
        <w:rPr>
          <w:rFonts w:ascii="Arial Black" w:eastAsia="Times New Roman" w:hAnsi="Arial Black" w:cs="Times New Roman"/>
          <w:b/>
          <w:sz w:val="24"/>
          <w:szCs w:val="24"/>
        </w:rPr>
        <w:t>Transformational Value—The best practice is an example of creative thinking that takes information management to a higher level. Comments from company management or management peers about the change value of the effort would document its transformational value. *</w:t>
      </w:r>
    </w:p>
    <w:p w:rsidR="00966AAB" w:rsidRPr="001A0744" w:rsidRDefault="00966AAB" w:rsidP="00966AAB">
      <w:pPr>
        <w:rPr>
          <w:rFonts w:ascii="Arial Black" w:eastAsia="Times New Roman" w:hAnsi="Arial Black" w:cs="Times New Roman"/>
          <w:b/>
          <w:color w:val="0070C0"/>
          <w:sz w:val="24"/>
          <w:szCs w:val="24"/>
        </w:rPr>
      </w:pPr>
      <w:r>
        <w:t>The management was highly appreciative of the pilot project demonstrat</w:t>
      </w:r>
      <w:r w:rsidR="00240889">
        <w:t>ing</w:t>
      </w:r>
      <w:r>
        <w:t xml:space="preserve"> the dynamic generation of MIBs reference help. </w:t>
      </w:r>
      <w:r w:rsidR="00240889">
        <w:t>Necessary approvals</w:t>
      </w:r>
      <w:r>
        <w:t xml:space="preserve"> were </w:t>
      </w:r>
      <w:r w:rsidR="000E4C48">
        <w:t>obtained from</w:t>
      </w:r>
      <w:r>
        <w:t xml:space="preserve"> the stake holders to set the process and define </w:t>
      </w:r>
      <w:r w:rsidR="000E4C48">
        <w:t>a</w:t>
      </w:r>
      <w:r w:rsidR="006C6ACF">
        <w:t xml:space="preserve"> new way of work</w:t>
      </w:r>
      <w:r>
        <w:t xml:space="preserve">. The team was encouraged to determine if this process </w:t>
      </w:r>
      <w:r w:rsidR="006C6ACF">
        <w:t>could</w:t>
      </w:r>
      <w:r>
        <w:t xml:space="preserve"> be extended </w:t>
      </w:r>
      <w:r w:rsidR="000E4C48">
        <w:t xml:space="preserve">and replicated </w:t>
      </w:r>
      <w:r>
        <w:t xml:space="preserve">to other areas like the Alarms reference, Events and Notifications reference. </w:t>
      </w:r>
    </w:p>
    <w:p w:rsidR="00966AAB" w:rsidRPr="00C73AFD" w:rsidRDefault="00966AAB" w:rsidP="00F47D2C">
      <w:pPr>
        <w:pStyle w:val="ListParagraph"/>
        <w:numPr>
          <w:ilvl w:val="0"/>
          <w:numId w:val="1"/>
        </w:numPr>
        <w:spacing w:after="0" w:line="240" w:lineRule="auto"/>
        <w:ind w:left="0" w:hanging="450"/>
        <w:rPr>
          <w:rFonts w:ascii="Arial Black" w:eastAsia="Times New Roman" w:hAnsi="Arial Black" w:cs="Times New Roman"/>
          <w:b/>
          <w:sz w:val="24"/>
          <w:szCs w:val="24"/>
        </w:rPr>
      </w:pPr>
      <w:r w:rsidRPr="00C73AFD">
        <w:rPr>
          <w:rFonts w:ascii="Arial Black" w:eastAsia="Times New Roman" w:hAnsi="Arial Black" w:cs="Times New Roman"/>
          <w:b/>
          <w:sz w:val="24"/>
          <w:szCs w:val="24"/>
        </w:rPr>
        <w:t xml:space="preserve">Leadership—The best practice subject matter, process, or results require outstanding leadership from the publications manager or team. For example, the manager or team changed the way work was done in the past, reallocated resources, reorganized for better results, solicited upper management support to bring in a content management system, teamed with customer support for better customer experiences, managed a corporate initiative, and so on. </w:t>
      </w:r>
      <w:r w:rsidRPr="00C73AFD">
        <w:rPr>
          <w:rFonts w:ascii="Arial Black" w:eastAsia="Times New Roman" w:hAnsi="Arial Black" w:cs="Times New Roman"/>
          <w:b/>
          <w:bCs/>
          <w:sz w:val="24"/>
          <w:szCs w:val="24"/>
        </w:rPr>
        <w:t>*</w:t>
      </w:r>
      <w:r w:rsidRPr="00C73AFD">
        <w:rPr>
          <w:rFonts w:ascii="Arial Black" w:eastAsia="Times New Roman" w:hAnsi="Arial Black" w:cs="Times New Roman"/>
          <w:b/>
          <w:sz w:val="24"/>
          <w:szCs w:val="24"/>
        </w:rPr>
        <w:t xml:space="preserve"> </w:t>
      </w:r>
    </w:p>
    <w:p w:rsidR="00966AAB" w:rsidRDefault="00966AAB" w:rsidP="00966AAB">
      <w:pPr>
        <w:spacing w:after="0" w:line="240" w:lineRule="auto"/>
        <w:rPr>
          <w:rFonts w:ascii="Times New Roman" w:eastAsia="Times New Roman" w:hAnsi="Times New Roman" w:cs="Times New Roman"/>
          <w:sz w:val="24"/>
          <w:szCs w:val="24"/>
        </w:rPr>
      </w:pPr>
    </w:p>
    <w:p w:rsidR="00966AAB" w:rsidRDefault="00966AAB" w:rsidP="00966AAB">
      <w:r>
        <w:lastRenderedPageBreak/>
        <w:t xml:space="preserve">The dynamic generation of MIB reference help emerged </w:t>
      </w:r>
      <w:r w:rsidR="000E4C48">
        <w:t xml:space="preserve">as a foolproof method </w:t>
      </w:r>
      <w:r>
        <w:t>to tackle the existing problem in the legacy process of sourcing the reference information. Th</w:t>
      </w:r>
      <w:r w:rsidR="000E4C48">
        <w:t xml:space="preserve">e </w:t>
      </w:r>
      <w:r>
        <w:t xml:space="preserve">efforts and time </w:t>
      </w:r>
      <w:r w:rsidR="000E4C48">
        <w:t xml:space="preserve">saved by simplifying this process could be channelized for other priority tasks. </w:t>
      </w:r>
      <w:r>
        <w:t>The management consciously identified th</w:t>
      </w:r>
      <w:r w:rsidR="000E4C48">
        <w:t xml:space="preserve">e legacy process </w:t>
      </w:r>
      <w:r>
        <w:t>as a hurdle that required immediate attention and a change in the way of work</w:t>
      </w:r>
      <w:r w:rsidR="000E4C48">
        <w:t>ing</w:t>
      </w:r>
      <w:r>
        <w:t xml:space="preserve">. This was vital as the time taken for this process and efforts spent were directly proportional to the operational costs. A research study was triggered to </w:t>
      </w:r>
      <w:r w:rsidR="000E4C48">
        <w:t>determine</w:t>
      </w:r>
      <w:r>
        <w:t xml:space="preserve"> alternative processes and a team was set up to pilot the dynamic generation of MIB reference help in an internal hackathon. </w:t>
      </w:r>
      <w:r w:rsidR="000E4C48">
        <w:t>I</w:t>
      </w:r>
      <w:r>
        <w:t xml:space="preserve">nputs from various stake holders </w:t>
      </w:r>
      <w:r w:rsidR="000E4C48">
        <w:t>such as</w:t>
      </w:r>
      <w:r>
        <w:t xml:space="preserve"> the engineering team, the build management team, and the information architect</w:t>
      </w:r>
      <w:r w:rsidR="000E4C48">
        <w:t xml:space="preserve"> were obtained</w:t>
      </w:r>
      <w:r>
        <w:t xml:space="preserve">. Persistent coordination efforts by the management ensured that the pilot was completed </w:t>
      </w:r>
      <w:r w:rsidR="000E4C48">
        <w:t>on time</w:t>
      </w:r>
      <w:r>
        <w:t>.  The pilot was a huge success and the approvals from the stake holders initiated the process change.</w:t>
      </w:r>
    </w:p>
    <w:p w:rsidR="00966AAB" w:rsidRDefault="00966AAB" w:rsidP="00966AAB"/>
    <w:p w:rsidR="00966AAB" w:rsidRDefault="00966AAB" w:rsidP="00966AAB">
      <w:pPr>
        <w:spacing w:after="0" w:line="240" w:lineRule="auto"/>
        <w:rPr>
          <w:rFonts w:ascii="Times New Roman" w:eastAsia="Times New Roman" w:hAnsi="Times New Roman" w:cs="Times New Roman"/>
          <w:sz w:val="24"/>
          <w:szCs w:val="24"/>
        </w:rPr>
      </w:pPr>
    </w:p>
    <w:p w:rsidR="00966AAB" w:rsidRDefault="00966AAB" w:rsidP="00966AAB">
      <w:pPr>
        <w:spacing w:after="0" w:line="240" w:lineRule="auto"/>
        <w:rPr>
          <w:rFonts w:ascii="Times New Roman" w:eastAsia="Times New Roman" w:hAnsi="Times New Roman" w:cs="Times New Roman"/>
          <w:sz w:val="24"/>
          <w:szCs w:val="24"/>
        </w:rPr>
      </w:pPr>
    </w:p>
    <w:p w:rsidR="00966AAB" w:rsidRDefault="00966AAB" w:rsidP="00966AAB">
      <w:pPr>
        <w:spacing w:after="0" w:line="240" w:lineRule="auto"/>
        <w:rPr>
          <w:rFonts w:ascii="Times New Roman" w:eastAsia="Times New Roman" w:hAnsi="Times New Roman" w:cs="Times New Roman"/>
          <w:sz w:val="24"/>
          <w:szCs w:val="24"/>
        </w:rPr>
      </w:pPr>
    </w:p>
    <w:p w:rsidR="00E621B3" w:rsidRDefault="00E621B3"/>
    <w:p w:rsidR="00CD0C53" w:rsidRDefault="00CD0C53"/>
    <w:sectPr w:rsidR="00CD0C5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A25" w:rsidRDefault="00F30A25" w:rsidP="00DB08EF">
      <w:pPr>
        <w:spacing w:after="0" w:line="240" w:lineRule="auto"/>
      </w:pPr>
      <w:r>
        <w:separator/>
      </w:r>
    </w:p>
  </w:endnote>
  <w:endnote w:type="continuationSeparator" w:id="0">
    <w:p w:rsidR="00F30A25" w:rsidRDefault="00F30A25" w:rsidP="00DB0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A25" w:rsidRDefault="00F30A25" w:rsidP="00DB08EF">
      <w:pPr>
        <w:spacing w:after="0" w:line="240" w:lineRule="auto"/>
      </w:pPr>
      <w:r>
        <w:separator/>
      </w:r>
    </w:p>
  </w:footnote>
  <w:footnote w:type="continuationSeparator" w:id="0">
    <w:p w:rsidR="00F30A25" w:rsidRDefault="00F30A25" w:rsidP="00DB08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73" w:type="dxa"/>
      <w:tblInd w:w="-252" w:type="dxa"/>
      <w:tblBorders>
        <w:insideH w:val="single" w:sz="4" w:space="0" w:color="auto"/>
      </w:tblBorders>
      <w:tblLook w:val="0000" w:firstRow="0" w:lastRow="0" w:firstColumn="0" w:lastColumn="0" w:noHBand="0" w:noVBand="0"/>
    </w:tblPr>
    <w:tblGrid>
      <w:gridCol w:w="2340"/>
      <w:gridCol w:w="7133"/>
    </w:tblGrid>
    <w:tr w:rsidR="00DB08EF" w:rsidTr="00CF7A74">
      <w:trPr>
        <w:trHeight w:val="595"/>
      </w:trPr>
      <w:tc>
        <w:tcPr>
          <w:tcW w:w="2340" w:type="dxa"/>
        </w:tcPr>
        <w:p w:rsidR="00DB08EF" w:rsidRDefault="00DB08EF">
          <w:pPr>
            <w:pStyle w:val="Header"/>
          </w:pPr>
          <w:r>
            <w:rPr>
              <w:noProof/>
            </w:rPr>
            <w:drawing>
              <wp:anchor distT="0" distB="0" distL="114300" distR="114300" simplePos="0" relativeHeight="251658240" behindDoc="0" locked="0" layoutInCell="1" allowOverlap="1" wp14:anchorId="0ECB20F8" wp14:editId="21BC91CD">
                <wp:simplePos x="752475" y="457200"/>
                <wp:positionH relativeFrom="margin">
                  <wp:align>center</wp:align>
                </wp:positionH>
                <wp:positionV relativeFrom="margin">
                  <wp:align>center</wp:align>
                </wp:positionV>
                <wp:extent cx="1161415" cy="247015"/>
                <wp:effectExtent l="0" t="0" r="635" b="635"/>
                <wp:wrapSquare wrapText="bothSides"/>
                <wp:docPr id="5" name="Picture 5" descr="Elogo_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logo_por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1415" cy="247015"/>
                        </a:xfrm>
                        <a:prstGeom prst="rect">
                          <a:avLst/>
                        </a:prstGeom>
                        <a:noFill/>
                        <a:ln>
                          <a:noFill/>
                        </a:ln>
                      </pic:spPr>
                    </pic:pic>
                  </a:graphicData>
                </a:graphic>
              </wp:anchor>
            </w:drawing>
          </w:r>
        </w:p>
      </w:tc>
      <w:tc>
        <w:tcPr>
          <w:tcW w:w="7133" w:type="dxa"/>
        </w:tcPr>
        <w:p w:rsidR="00DB08EF" w:rsidRPr="00DB08EF" w:rsidRDefault="00DB08EF" w:rsidP="00CF7A74">
          <w:pPr>
            <w:autoSpaceDE w:val="0"/>
            <w:autoSpaceDN w:val="0"/>
            <w:spacing w:before="60" w:after="0" w:line="240" w:lineRule="auto"/>
            <w:jc w:val="center"/>
            <w:rPr>
              <w:rFonts w:ascii="Calibri" w:eastAsia="Times New Roman" w:hAnsi="Calibri" w:cs="Times New Roman"/>
              <w:b/>
              <w:sz w:val="28"/>
              <w:szCs w:val="28"/>
            </w:rPr>
          </w:pPr>
          <w:r w:rsidRPr="00DB08EF">
            <w:rPr>
              <w:rFonts w:ascii="Verdana" w:eastAsia="Times New Roman" w:hAnsi="Verdana" w:cs="Times New Roman"/>
              <w:b/>
              <w:color w:val="000000"/>
              <w:sz w:val="28"/>
              <w:szCs w:val="28"/>
            </w:rPr>
            <w:t>Automating Reference Help Documentation</w:t>
          </w:r>
        </w:p>
      </w:tc>
    </w:tr>
  </w:tbl>
  <w:p w:rsidR="00DB08EF" w:rsidRDefault="00DB08EF">
    <w:pPr>
      <w:pStyle w:val="Header"/>
    </w:pPr>
  </w:p>
  <w:p w:rsidR="00DB08EF" w:rsidRDefault="00DB08EF" w:rsidP="00DB08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47504"/>
    <w:multiLevelType w:val="hybridMultilevel"/>
    <w:tmpl w:val="A66ADE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AAB"/>
    <w:rsid w:val="00000BD8"/>
    <w:rsid w:val="00003083"/>
    <w:rsid w:val="000446C7"/>
    <w:rsid w:val="00045DD5"/>
    <w:rsid w:val="000558FE"/>
    <w:rsid w:val="00062929"/>
    <w:rsid w:val="000727E8"/>
    <w:rsid w:val="00075846"/>
    <w:rsid w:val="00082139"/>
    <w:rsid w:val="0008375C"/>
    <w:rsid w:val="000917C4"/>
    <w:rsid w:val="000B29BE"/>
    <w:rsid w:val="000C2F18"/>
    <w:rsid w:val="000C3AD0"/>
    <w:rsid w:val="000E3156"/>
    <w:rsid w:val="000E4C48"/>
    <w:rsid w:val="000E7A2A"/>
    <w:rsid w:val="000F0704"/>
    <w:rsid w:val="000F534E"/>
    <w:rsid w:val="00105A60"/>
    <w:rsid w:val="00114DE6"/>
    <w:rsid w:val="00121165"/>
    <w:rsid w:val="00125106"/>
    <w:rsid w:val="00144CA5"/>
    <w:rsid w:val="00170FB8"/>
    <w:rsid w:val="001A64DE"/>
    <w:rsid w:val="001B533B"/>
    <w:rsid w:val="001C2B91"/>
    <w:rsid w:val="001D51E8"/>
    <w:rsid w:val="001E057C"/>
    <w:rsid w:val="001E1C7F"/>
    <w:rsid w:val="001F0B70"/>
    <w:rsid w:val="00205E7C"/>
    <w:rsid w:val="002107F0"/>
    <w:rsid w:val="0021471D"/>
    <w:rsid w:val="00215D3A"/>
    <w:rsid w:val="002323CF"/>
    <w:rsid w:val="00240889"/>
    <w:rsid w:val="00267731"/>
    <w:rsid w:val="0027368B"/>
    <w:rsid w:val="00274479"/>
    <w:rsid w:val="00276360"/>
    <w:rsid w:val="00293EFB"/>
    <w:rsid w:val="002956EE"/>
    <w:rsid w:val="002C3EE5"/>
    <w:rsid w:val="002E300A"/>
    <w:rsid w:val="002F284C"/>
    <w:rsid w:val="002F6519"/>
    <w:rsid w:val="00300ECE"/>
    <w:rsid w:val="0031101F"/>
    <w:rsid w:val="003117FC"/>
    <w:rsid w:val="00313858"/>
    <w:rsid w:val="00313BFE"/>
    <w:rsid w:val="00327576"/>
    <w:rsid w:val="00350391"/>
    <w:rsid w:val="00355D67"/>
    <w:rsid w:val="00386F68"/>
    <w:rsid w:val="00397E5C"/>
    <w:rsid w:val="003B1DD1"/>
    <w:rsid w:val="003B3762"/>
    <w:rsid w:val="003B4A36"/>
    <w:rsid w:val="003C140F"/>
    <w:rsid w:val="003C653C"/>
    <w:rsid w:val="003D7528"/>
    <w:rsid w:val="003E45F6"/>
    <w:rsid w:val="003E7BBB"/>
    <w:rsid w:val="00407669"/>
    <w:rsid w:val="004251F2"/>
    <w:rsid w:val="00432C2F"/>
    <w:rsid w:val="004459A1"/>
    <w:rsid w:val="00446F6E"/>
    <w:rsid w:val="00454022"/>
    <w:rsid w:val="0045432D"/>
    <w:rsid w:val="00487B6C"/>
    <w:rsid w:val="004A20A4"/>
    <w:rsid w:val="004A2EDA"/>
    <w:rsid w:val="004D7862"/>
    <w:rsid w:val="004F5C6D"/>
    <w:rsid w:val="00514090"/>
    <w:rsid w:val="00562F24"/>
    <w:rsid w:val="0056606A"/>
    <w:rsid w:val="0058203D"/>
    <w:rsid w:val="00583D9B"/>
    <w:rsid w:val="005842DA"/>
    <w:rsid w:val="005A18EE"/>
    <w:rsid w:val="005A47C2"/>
    <w:rsid w:val="005A4829"/>
    <w:rsid w:val="005B3ED7"/>
    <w:rsid w:val="005B5A2E"/>
    <w:rsid w:val="005C2094"/>
    <w:rsid w:val="005D1195"/>
    <w:rsid w:val="005D297F"/>
    <w:rsid w:val="005F22E0"/>
    <w:rsid w:val="006006D7"/>
    <w:rsid w:val="00611674"/>
    <w:rsid w:val="00617AEF"/>
    <w:rsid w:val="006277B6"/>
    <w:rsid w:val="00640FA1"/>
    <w:rsid w:val="0066057A"/>
    <w:rsid w:val="006866F5"/>
    <w:rsid w:val="006A3811"/>
    <w:rsid w:val="006B6D68"/>
    <w:rsid w:val="006C6519"/>
    <w:rsid w:val="006C6ACF"/>
    <w:rsid w:val="006D1D28"/>
    <w:rsid w:val="006D72C2"/>
    <w:rsid w:val="006E0E96"/>
    <w:rsid w:val="006E4A80"/>
    <w:rsid w:val="006F0CAC"/>
    <w:rsid w:val="006F6891"/>
    <w:rsid w:val="00703377"/>
    <w:rsid w:val="007132BF"/>
    <w:rsid w:val="007250BA"/>
    <w:rsid w:val="007300D0"/>
    <w:rsid w:val="0073348C"/>
    <w:rsid w:val="007579D4"/>
    <w:rsid w:val="00757B35"/>
    <w:rsid w:val="00764BF7"/>
    <w:rsid w:val="00773368"/>
    <w:rsid w:val="00781CF5"/>
    <w:rsid w:val="00782883"/>
    <w:rsid w:val="00790650"/>
    <w:rsid w:val="0079489B"/>
    <w:rsid w:val="007965AD"/>
    <w:rsid w:val="007A04E8"/>
    <w:rsid w:val="007A62F2"/>
    <w:rsid w:val="007A6A05"/>
    <w:rsid w:val="007C1738"/>
    <w:rsid w:val="007C28A1"/>
    <w:rsid w:val="007C4664"/>
    <w:rsid w:val="007D74A5"/>
    <w:rsid w:val="007D7FAC"/>
    <w:rsid w:val="007E1D10"/>
    <w:rsid w:val="007F7DE9"/>
    <w:rsid w:val="0081233A"/>
    <w:rsid w:val="00815D00"/>
    <w:rsid w:val="008203B6"/>
    <w:rsid w:val="00821E13"/>
    <w:rsid w:val="00822893"/>
    <w:rsid w:val="008241D5"/>
    <w:rsid w:val="00831B52"/>
    <w:rsid w:val="00852030"/>
    <w:rsid w:val="0086398C"/>
    <w:rsid w:val="0086528B"/>
    <w:rsid w:val="008958B2"/>
    <w:rsid w:val="00896B7E"/>
    <w:rsid w:val="008B1F1E"/>
    <w:rsid w:val="008B4ECF"/>
    <w:rsid w:val="008C08A8"/>
    <w:rsid w:val="008C55B6"/>
    <w:rsid w:val="008E7DA7"/>
    <w:rsid w:val="00901DE7"/>
    <w:rsid w:val="00907EFF"/>
    <w:rsid w:val="009224F0"/>
    <w:rsid w:val="00926042"/>
    <w:rsid w:val="00935687"/>
    <w:rsid w:val="00940FB4"/>
    <w:rsid w:val="00944226"/>
    <w:rsid w:val="00946CD4"/>
    <w:rsid w:val="00966AAB"/>
    <w:rsid w:val="00967F51"/>
    <w:rsid w:val="00972584"/>
    <w:rsid w:val="0099116F"/>
    <w:rsid w:val="009E3E91"/>
    <w:rsid w:val="009F10DE"/>
    <w:rsid w:val="00A0514D"/>
    <w:rsid w:val="00A12891"/>
    <w:rsid w:val="00A2129C"/>
    <w:rsid w:val="00A22412"/>
    <w:rsid w:val="00A30765"/>
    <w:rsid w:val="00A31B1B"/>
    <w:rsid w:val="00A32EBF"/>
    <w:rsid w:val="00A37500"/>
    <w:rsid w:val="00A43EE6"/>
    <w:rsid w:val="00A4511E"/>
    <w:rsid w:val="00A47254"/>
    <w:rsid w:val="00A55DC8"/>
    <w:rsid w:val="00A5755A"/>
    <w:rsid w:val="00A64BC1"/>
    <w:rsid w:val="00A80E5A"/>
    <w:rsid w:val="00A86CB6"/>
    <w:rsid w:val="00A95926"/>
    <w:rsid w:val="00AB6435"/>
    <w:rsid w:val="00AC0CDE"/>
    <w:rsid w:val="00AC6D30"/>
    <w:rsid w:val="00AD1CE9"/>
    <w:rsid w:val="00AE3A3F"/>
    <w:rsid w:val="00AE4C20"/>
    <w:rsid w:val="00AE4F0A"/>
    <w:rsid w:val="00B049D6"/>
    <w:rsid w:val="00B04A49"/>
    <w:rsid w:val="00B16A81"/>
    <w:rsid w:val="00B24BEF"/>
    <w:rsid w:val="00B33629"/>
    <w:rsid w:val="00B34AB3"/>
    <w:rsid w:val="00B41B20"/>
    <w:rsid w:val="00B6272A"/>
    <w:rsid w:val="00B638C7"/>
    <w:rsid w:val="00BA6010"/>
    <w:rsid w:val="00BC2EBA"/>
    <w:rsid w:val="00BD19B7"/>
    <w:rsid w:val="00C52401"/>
    <w:rsid w:val="00C5385A"/>
    <w:rsid w:val="00C70D79"/>
    <w:rsid w:val="00C73AFD"/>
    <w:rsid w:val="00C74F63"/>
    <w:rsid w:val="00C907EE"/>
    <w:rsid w:val="00CA417D"/>
    <w:rsid w:val="00CB6162"/>
    <w:rsid w:val="00CD0C53"/>
    <w:rsid w:val="00CF7A74"/>
    <w:rsid w:val="00D23BDE"/>
    <w:rsid w:val="00D35D5F"/>
    <w:rsid w:val="00D46C44"/>
    <w:rsid w:val="00D75A83"/>
    <w:rsid w:val="00D8358F"/>
    <w:rsid w:val="00D83636"/>
    <w:rsid w:val="00D94AB5"/>
    <w:rsid w:val="00DA03F4"/>
    <w:rsid w:val="00DA0751"/>
    <w:rsid w:val="00DB08EF"/>
    <w:rsid w:val="00DB1219"/>
    <w:rsid w:val="00DB31DF"/>
    <w:rsid w:val="00DB7D44"/>
    <w:rsid w:val="00DC339E"/>
    <w:rsid w:val="00DD31C3"/>
    <w:rsid w:val="00DD4FB3"/>
    <w:rsid w:val="00DD7197"/>
    <w:rsid w:val="00DE036F"/>
    <w:rsid w:val="00DF0A21"/>
    <w:rsid w:val="00DF420E"/>
    <w:rsid w:val="00E13834"/>
    <w:rsid w:val="00E14030"/>
    <w:rsid w:val="00E16813"/>
    <w:rsid w:val="00E24AED"/>
    <w:rsid w:val="00E25183"/>
    <w:rsid w:val="00E334A3"/>
    <w:rsid w:val="00E40267"/>
    <w:rsid w:val="00E45E53"/>
    <w:rsid w:val="00E5035E"/>
    <w:rsid w:val="00E60B87"/>
    <w:rsid w:val="00E621B3"/>
    <w:rsid w:val="00E84F36"/>
    <w:rsid w:val="00E9129E"/>
    <w:rsid w:val="00E9250E"/>
    <w:rsid w:val="00EA096F"/>
    <w:rsid w:val="00EA2AC4"/>
    <w:rsid w:val="00ED1034"/>
    <w:rsid w:val="00EE1A53"/>
    <w:rsid w:val="00EF121D"/>
    <w:rsid w:val="00F13CCF"/>
    <w:rsid w:val="00F30A25"/>
    <w:rsid w:val="00F31D7A"/>
    <w:rsid w:val="00F359E4"/>
    <w:rsid w:val="00F47D2C"/>
    <w:rsid w:val="00F65597"/>
    <w:rsid w:val="00F6657E"/>
    <w:rsid w:val="00F71A59"/>
    <w:rsid w:val="00F812BF"/>
    <w:rsid w:val="00F8273B"/>
    <w:rsid w:val="00F93E09"/>
    <w:rsid w:val="00F9476E"/>
    <w:rsid w:val="00FA6773"/>
    <w:rsid w:val="00FB017B"/>
    <w:rsid w:val="00FB19FE"/>
    <w:rsid w:val="00FB58FB"/>
    <w:rsid w:val="00FD2B6A"/>
    <w:rsid w:val="00FD4E03"/>
    <w:rsid w:val="00FE7A45"/>
    <w:rsid w:val="00FF2669"/>
    <w:rsid w:val="00FF3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A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6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66AAB"/>
    <w:pPr>
      <w:spacing w:line="240" w:lineRule="auto"/>
    </w:pPr>
    <w:rPr>
      <w:b/>
      <w:bCs/>
      <w:color w:val="4F81BD" w:themeColor="accent1"/>
      <w:sz w:val="18"/>
      <w:szCs w:val="18"/>
    </w:rPr>
  </w:style>
  <w:style w:type="paragraph" w:styleId="ListParagraph">
    <w:name w:val="List Paragraph"/>
    <w:basedOn w:val="Normal"/>
    <w:uiPriority w:val="34"/>
    <w:qFormat/>
    <w:rsid w:val="00966AAB"/>
    <w:pPr>
      <w:ind w:left="720"/>
      <w:contextualSpacing/>
    </w:pPr>
  </w:style>
  <w:style w:type="paragraph" w:styleId="BalloonText">
    <w:name w:val="Balloon Text"/>
    <w:basedOn w:val="Normal"/>
    <w:link w:val="BalloonTextChar"/>
    <w:uiPriority w:val="99"/>
    <w:semiHidden/>
    <w:unhideWhenUsed/>
    <w:rsid w:val="00966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AAB"/>
    <w:rPr>
      <w:rFonts w:ascii="Tahoma" w:hAnsi="Tahoma" w:cs="Tahoma"/>
      <w:sz w:val="16"/>
      <w:szCs w:val="16"/>
    </w:rPr>
  </w:style>
  <w:style w:type="paragraph" w:styleId="Header">
    <w:name w:val="header"/>
    <w:basedOn w:val="Normal"/>
    <w:link w:val="HeaderChar"/>
    <w:uiPriority w:val="99"/>
    <w:unhideWhenUsed/>
    <w:rsid w:val="00DB0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8EF"/>
  </w:style>
  <w:style w:type="paragraph" w:styleId="Footer">
    <w:name w:val="footer"/>
    <w:basedOn w:val="Normal"/>
    <w:link w:val="FooterChar"/>
    <w:uiPriority w:val="99"/>
    <w:unhideWhenUsed/>
    <w:rsid w:val="00DB0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8EF"/>
  </w:style>
  <w:style w:type="character" w:styleId="CommentReference">
    <w:name w:val="annotation reference"/>
    <w:basedOn w:val="DefaultParagraphFont"/>
    <w:uiPriority w:val="99"/>
    <w:semiHidden/>
    <w:unhideWhenUsed/>
    <w:rsid w:val="00F71A5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A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6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66AAB"/>
    <w:pPr>
      <w:spacing w:line="240" w:lineRule="auto"/>
    </w:pPr>
    <w:rPr>
      <w:b/>
      <w:bCs/>
      <w:color w:val="4F81BD" w:themeColor="accent1"/>
      <w:sz w:val="18"/>
      <w:szCs w:val="18"/>
    </w:rPr>
  </w:style>
  <w:style w:type="paragraph" w:styleId="ListParagraph">
    <w:name w:val="List Paragraph"/>
    <w:basedOn w:val="Normal"/>
    <w:uiPriority w:val="34"/>
    <w:qFormat/>
    <w:rsid w:val="00966AAB"/>
    <w:pPr>
      <w:ind w:left="720"/>
      <w:contextualSpacing/>
    </w:pPr>
  </w:style>
  <w:style w:type="paragraph" w:styleId="BalloonText">
    <w:name w:val="Balloon Text"/>
    <w:basedOn w:val="Normal"/>
    <w:link w:val="BalloonTextChar"/>
    <w:uiPriority w:val="99"/>
    <w:semiHidden/>
    <w:unhideWhenUsed/>
    <w:rsid w:val="00966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AAB"/>
    <w:rPr>
      <w:rFonts w:ascii="Tahoma" w:hAnsi="Tahoma" w:cs="Tahoma"/>
      <w:sz w:val="16"/>
      <w:szCs w:val="16"/>
    </w:rPr>
  </w:style>
  <w:style w:type="paragraph" w:styleId="Header">
    <w:name w:val="header"/>
    <w:basedOn w:val="Normal"/>
    <w:link w:val="HeaderChar"/>
    <w:uiPriority w:val="99"/>
    <w:unhideWhenUsed/>
    <w:rsid w:val="00DB0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8EF"/>
  </w:style>
  <w:style w:type="paragraph" w:styleId="Footer">
    <w:name w:val="footer"/>
    <w:basedOn w:val="Normal"/>
    <w:link w:val="FooterChar"/>
    <w:uiPriority w:val="99"/>
    <w:unhideWhenUsed/>
    <w:rsid w:val="00DB0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8EF"/>
  </w:style>
  <w:style w:type="character" w:styleId="CommentReference">
    <w:name w:val="annotation reference"/>
    <w:basedOn w:val="DefaultParagraphFont"/>
    <w:uiPriority w:val="99"/>
    <w:semiHidden/>
    <w:unhideWhenUsed/>
    <w:rsid w:val="00F71A5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88663">
      <w:bodyDiv w:val="1"/>
      <w:marLeft w:val="0"/>
      <w:marRight w:val="0"/>
      <w:marTop w:val="0"/>
      <w:marBottom w:val="0"/>
      <w:divBdr>
        <w:top w:val="none" w:sz="0" w:space="0" w:color="auto"/>
        <w:left w:val="none" w:sz="0" w:space="0" w:color="auto"/>
        <w:bottom w:val="none" w:sz="0" w:space="0" w:color="auto"/>
        <w:right w:val="none" w:sz="0" w:space="0" w:color="auto"/>
      </w:divBdr>
    </w:div>
    <w:div w:id="614366676">
      <w:bodyDiv w:val="1"/>
      <w:marLeft w:val="0"/>
      <w:marRight w:val="0"/>
      <w:marTop w:val="0"/>
      <w:marBottom w:val="0"/>
      <w:divBdr>
        <w:top w:val="none" w:sz="0" w:space="0" w:color="auto"/>
        <w:left w:val="none" w:sz="0" w:space="0" w:color="auto"/>
        <w:bottom w:val="none" w:sz="0" w:space="0" w:color="auto"/>
        <w:right w:val="none" w:sz="0" w:space="0" w:color="auto"/>
      </w:divBdr>
    </w:div>
    <w:div w:id="1068042339">
      <w:bodyDiv w:val="1"/>
      <w:marLeft w:val="0"/>
      <w:marRight w:val="0"/>
      <w:marTop w:val="0"/>
      <w:marBottom w:val="0"/>
      <w:divBdr>
        <w:top w:val="none" w:sz="0" w:space="0" w:color="auto"/>
        <w:left w:val="none" w:sz="0" w:space="0" w:color="auto"/>
        <w:bottom w:val="none" w:sz="0" w:space="0" w:color="auto"/>
        <w:right w:val="none" w:sz="0" w:space="0" w:color="auto"/>
      </w:divBdr>
    </w:div>
    <w:div w:id="1266302220">
      <w:bodyDiv w:val="1"/>
      <w:marLeft w:val="0"/>
      <w:marRight w:val="0"/>
      <w:marTop w:val="0"/>
      <w:marBottom w:val="0"/>
      <w:divBdr>
        <w:top w:val="none" w:sz="0" w:space="0" w:color="auto"/>
        <w:left w:val="none" w:sz="0" w:space="0" w:color="auto"/>
        <w:bottom w:val="none" w:sz="0" w:space="0" w:color="auto"/>
        <w:right w:val="none" w:sz="0" w:space="0" w:color="auto"/>
      </w:divBdr>
    </w:div>
    <w:div w:id="154601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1547</Words>
  <Characters>8820</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10347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Archana Kulkarni</dc:creator>
  <cp:lastModifiedBy>Susie Christmas</cp:lastModifiedBy>
  <cp:revision>2</cp:revision>
  <dcterms:created xsi:type="dcterms:W3CDTF">2015-07-30T16:25:00Z</dcterms:created>
  <dcterms:modified xsi:type="dcterms:W3CDTF">2015-07-30T16:25:00Z</dcterms:modified>
</cp:coreProperties>
</file>